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C8BE6" w14:textId="20BD9DEE" w:rsidR="00976DA1" w:rsidRPr="00B80DFC" w:rsidRDefault="00E65B22" w:rsidP="00082746">
      <w:pPr>
        <w:spacing w:after="0" w:line="276" w:lineRule="auto"/>
        <w:rPr>
          <w:color w:val="auto"/>
          <w:sz w:val="22"/>
        </w:rPr>
      </w:pPr>
      <w:r w:rsidRPr="00B80DFC">
        <w:rPr>
          <w:b/>
          <w:color w:val="auto"/>
          <w:sz w:val="22"/>
        </w:rPr>
        <w:t xml:space="preserve">PORTARIA NORMATIVA Nº </w:t>
      </w:r>
      <w:r w:rsidR="008E4154" w:rsidRPr="00B80DFC">
        <w:rPr>
          <w:b/>
          <w:color w:val="auto"/>
          <w:sz w:val="22"/>
        </w:rPr>
        <w:t>223</w:t>
      </w:r>
      <w:r w:rsidR="00976DA1" w:rsidRPr="00B80DFC">
        <w:rPr>
          <w:b/>
          <w:color w:val="auto"/>
          <w:sz w:val="22"/>
        </w:rPr>
        <w:t>/202</w:t>
      </w:r>
      <w:r w:rsidR="00082746" w:rsidRPr="00B80DFC">
        <w:rPr>
          <w:b/>
          <w:color w:val="auto"/>
          <w:sz w:val="22"/>
        </w:rPr>
        <w:t>5</w:t>
      </w:r>
      <w:r w:rsidR="00976DA1" w:rsidRPr="00B80DFC">
        <w:rPr>
          <w:b/>
          <w:color w:val="auto"/>
          <w:sz w:val="22"/>
        </w:rPr>
        <w:t xml:space="preserve">/DGPC/MS, DE </w:t>
      </w:r>
      <w:r w:rsidR="00EF54D7">
        <w:rPr>
          <w:b/>
          <w:color w:val="auto"/>
          <w:sz w:val="22"/>
        </w:rPr>
        <w:t>16</w:t>
      </w:r>
      <w:r w:rsidR="00082746" w:rsidRPr="00B80DFC">
        <w:rPr>
          <w:b/>
          <w:color w:val="auto"/>
          <w:sz w:val="22"/>
        </w:rPr>
        <w:t xml:space="preserve"> DE JANEIRO DE 2025</w:t>
      </w:r>
      <w:r w:rsidR="00976DA1" w:rsidRPr="00B80DFC">
        <w:rPr>
          <w:color w:val="auto"/>
          <w:sz w:val="22"/>
        </w:rPr>
        <w:t xml:space="preserve">. </w:t>
      </w:r>
    </w:p>
    <w:p w14:paraId="64FFBC29" w14:textId="77777777" w:rsidR="00082746" w:rsidRPr="00B80DFC" w:rsidRDefault="00082746" w:rsidP="00082746">
      <w:pPr>
        <w:spacing w:after="0" w:line="276" w:lineRule="auto"/>
        <w:ind w:left="4253" w:right="1"/>
        <w:rPr>
          <w:color w:val="auto"/>
          <w:sz w:val="22"/>
        </w:rPr>
      </w:pPr>
    </w:p>
    <w:p w14:paraId="41E26748" w14:textId="77777777" w:rsidR="00082746" w:rsidRPr="00B80DFC" w:rsidRDefault="00396102" w:rsidP="00082746">
      <w:pPr>
        <w:spacing w:after="0" w:line="276" w:lineRule="auto"/>
        <w:ind w:left="4253" w:right="1"/>
        <w:rPr>
          <w:i/>
          <w:color w:val="auto"/>
          <w:sz w:val="22"/>
        </w:rPr>
      </w:pPr>
      <w:r w:rsidRPr="00B80DFC">
        <w:rPr>
          <w:i/>
          <w:color w:val="auto"/>
          <w:sz w:val="22"/>
        </w:rPr>
        <w:t xml:space="preserve">Dispõe sobre a aquisição de armas de fogo de uso restrito, de suas respectivas munições e de acessórios para armas de fogo, por </w:t>
      </w:r>
      <w:r w:rsidR="00082746" w:rsidRPr="00B80DFC">
        <w:rPr>
          <w:i/>
          <w:color w:val="auto"/>
          <w:sz w:val="22"/>
        </w:rPr>
        <w:t xml:space="preserve">integrantes das categorias funcionais do Grupo Polícia Civil do Estado de Mato Grosso do </w:t>
      </w:r>
      <w:r w:rsidR="008E4154" w:rsidRPr="00B80DFC">
        <w:rPr>
          <w:i/>
          <w:color w:val="auto"/>
          <w:sz w:val="22"/>
        </w:rPr>
        <w:t>S</w:t>
      </w:r>
      <w:r w:rsidR="00082746" w:rsidRPr="00B80DFC">
        <w:rPr>
          <w:i/>
          <w:color w:val="auto"/>
          <w:sz w:val="22"/>
        </w:rPr>
        <w:t>ul</w:t>
      </w:r>
      <w:r w:rsidRPr="00B80DFC">
        <w:rPr>
          <w:i/>
          <w:color w:val="auto"/>
          <w:sz w:val="22"/>
        </w:rPr>
        <w:t>, a transferência de armas de fogo entre o Sistema de Gerenciamento Militar de Armas (SIGMA) e o Sistema Nacional de Armas (SI</w:t>
      </w:r>
      <w:r w:rsidR="00E1689A" w:rsidRPr="00B80DFC">
        <w:rPr>
          <w:i/>
          <w:color w:val="auto"/>
          <w:sz w:val="22"/>
        </w:rPr>
        <w:t>NARM), e dá outras providências</w:t>
      </w:r>
      <w:r w:rsidR="00976DA1" w:rsidRPr="00B80DFC">
        <w:rPr>
          <w:i/>
          <w:color w:val="auto"/>
          <w:sz w:val="22"/>
        </w:rPr>
        <w:t xml:space="preserve">. </w:t>
      </w:r>
    </w:p>
    <w:p w14:paraId="25A10EB3" w14:textId="77777777" w:rsidR="00976DA1" w:rsidRPr="00B80DFC" w:rsidRDefault="00976DA1" w:rsidP="00082746">
      <w:pPr>
        <w:spacing w:after="0" w:line="276" w:lineRule="auto"/>
        <w:ind w:left="4253" w:right="1"/>
        <w:rPr>
          <w:i/>
          <w:color w:val="auto"/>
          <w:sz w:val="22"/>
        </w:rPr>
      </w:pPr>
      <w:r w:rsidRPr="00B80DFC">
        <w:rPr>
          <w:i/>
          <w:color w:val="auto"/>
          <w:sz w:val="22"/>
        </w:rPr>
        <w:t xml:space="preserve"> </w:t>
      </w:r>
    </w:p>
    <w:p w14:paraId="2EBD9ED4" w14:textId="77777777" w:rsidR="00D26B86" w:rsidRPr="00B80DFC" w:rsidRDefault="00976DA1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b/>
          <w:color w:val="auto"/>
          <w:sz w:val="22"/>
        </w:rPr>
        <w:t>O DELEGADO-GERAL DA POLÍCIA CIVIL DO ESTADO DE MATO GROSSO DO SUL</w:t>
      </w:r>
      <w:r w:rsidRPr="00B80DFC">
        <w:rPr>
          <w:color w:val="auto"/>
          <w:sz w:val="22"/>
        </w:rPr>
        <w:t xml:space="preserve">, </w:t>
      </w:r>
      <w:r w:rsidR="005D3E28" w:rsidRPr="00B80DFC">
        <w:rPr>
          <w:color w:val="auto"/>
          <w:sz w:val="22"/>
        </w:rPr>
        <w:t>no uso de suas atribuições</w:t>
      </w:r>
      <w:r w:rsidR="00AD6FB8" w:rsidRPr="00B80DFC">
        <w:rPr>
          <w:color w:val="auto"/>
          <w:sz w:val="22"/>
        </w:rPr>
        <w:t xml:space="preserve"> legais</w:t>
      </w:r>
      <w:r w:rsidR="005D3E28" w:rsidRPr="00B80DFC">
        <w:rPr>
          <w:color w:val="auto"/>
          <w:sz w:val="22"/>
        </w:rPr>
        <w:t xml:space="preserve"> </w:t>
      </w:r>
      <w:r w:rsidR="00D26B86" w:rsidRPr="00B80DFC">
        <w:rPr>
          <w:color w:val="auto"/>
          <w:sz w:val="22"/>
        </w:rPr>
        <w:t xml:space="preserve">conferidas pelo art. 72, inciso III, da Lei nº 6.035, de 26 de dezembro de 2022 e no </w:t>
      </w:r>
      <w:r w:rsidR="00596CA7" w:rsidRPr="00B80DFC">
        <w:rPr>
          <w:color w:val="auto"/>
          <w:sz w:val="22"/>
        </w:rPr>
        <w:t xml:space="preserve">art. </w:t>
      </w:r>
      <w:r w:rsidR="00D26B86" w:rsidRPr="00B80DFC">
        <w:rPr>
          <w:color w:val="auto"/>
          <w:sz w:val="22"/>
        </w:rPr>
        <w:t xml:space="preserve">13, </w:t>
      </w:r>
      <w:r w:rsidR="00E95FD9" w:rsidRPr="00B80DFC">
        <w:rPr>
          <w:color w:val="auto"/>
          <w:sz w:val="22"/>
        </w:rPr>
        <w:t xml:space="preserve">caput e </w:t>
      </w:r>
      <w:r w:rsidR="00D26B86" w:rsidRPr="00B80DFC">
        <w:rPr>
          <w:color w:val="auto"/>
          <w:sz w:val="22"/>
        </w:rPr>
        <w:t>inciso</w:t>
      </w:r>
      <w:r w:rsidR="002621AE" w:rsidRPr="00B80DFC">
        <w:rPr>
          <w:color w:val="auto"/>
          <w:sz w:val="22"/>
        </w:rPr>
        <w:t xml:space="preserve">s </w:t>
      </w:r>
      <w:r w:rsidR="000E4A0F" w:rsidRPr="00B80DFC">
        <w:rPr>
          <w:color w:val="auto"/>
          <w:sz w:val="22"/>
        </w:rPr>
        <w:t xml:space="preserve">I, </w:t>
      </w:r>
      <w:r w:rsidR="00E1689A" w:rsidRPr="00B80DFC">
        <w:rPr>
          <w:color w:val="auto"/>
          <w:sz w:val="22"/>
        </w:rPr>
        <w:t>VIII</w:t>
      </w:r>
      <w:r w:rsidR="002621AE" w:rsidRPr="00B80DFC">
        <w:rPr>
          <w:color w:val="auto"/>
          <w:sz w:val="22"/>
        </w:rPr>
        <w:t xml:space="preserve"> e</w:t>
      </w:r>
      <w:r w:rsidR="00D26B86" w:rsidRPr="00B80DFC">
        <w:rPr>
          <w:color w:val="auto"/>
          <w:sz w:val="22"/>
        </w:rPr>
        <w:t xml:space="preserve"> IX, da Lei Complementar nº 114, de 19 de dezembro de 2005, e </w:t>
      </w:r>
    </w:p>
    <w:p w14:paraId="3B82EE87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29057DC5" w14:textId="77777777" w:rsidR="004D578E" w:rsidRPr="00B80DFC" w:rsidRDefault="00564B66" w:rsidP="00082746">
      <w:pPr>
        <w:pStyle w:val="Default"/>
        <w:spacing w:line="276" w:lineRule="auto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0DFC">
        <w:rPr>
          <w:rFonts w:ascii="Times New Roman" w:hAnsi="Times New Roman" w:cs="Times New Roman"/>
          <w:color w:val="auto"/>
          <w:sz w:val="22"/>
          <w:szCs w:val="22"/>
        </w:rPr>
        <w:t>Considerando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 a competência do Delegado-Geral para exercer a administração superior da Polícia Civil de Mato Grosso do Sul, </w:t>
      </w:r>
      <w:r w:rsidR="002621A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planejando, supervisionando, 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>coordenando</w:t>
      </w:r>
      <w:r w:rsidR="002621AE" w:rsidRPr="00B80DFC">
        <w:rPr>
          <w:rFonts w:ascii="Times New Roman" w:hAnsi="Times New Roman" w:cs="Times New Roman"/>
          <w:color w:val="auto"/>
          <w:sz w:val="22"/>
          <w:szCs w:val="22"/>
        </w:rPr>
        <w:t>, controlando e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 fiscalizando </w:t>
      </w:r>
      <w:r w:rsidR="001A7074" w:rsidRPr="00B80DFC">
        <w:rPr>
          <w:rFonts w:ascii="Times New Roman" w:hAnsi="Times New Roman" w:cs="Times New Roman"/>
          <w:color w:val="auto"/>
          <w:sz w:val="22"/>
          <w:szCs w:val="22"/>
        </w:rPr>
        <w:t>o exercício das f</w:t>
      </w:r>
      <w:r w:rsidR="002621AE" w:rsidRPr="00B80DFC">
        <w:rPr>
          <w:rFonts w:ascii="Times New Roman" w:hAnsi="Times New Roman" w:cs="Times New Roman"/>
          <w:color w:val="auto"/>
          <w:sz w:val="22"/>
          <w:szCs w:val="22"/>
        </w:rPr>
        <w:t>unções da Polícia Civil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, bem como para praticar atos administrativos </w:t>
      </w:r>
      <w:r w:rsidR="000E4A0F" w:rsidRPr="00B80DFC">
        <w:rPr>
          <w:rFonts w:ascii="Times New Roman" w:hAnsi="Times New Roman" w:cs="Times New Roman"/>
          <w:color w:val="auto"/>
          <w:sz w:val="22"/>
          <w:szCs w:val="22"/>
        </w:rPr>
        <w:t>nos termos da legislação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, inclusive </w:t>
      </w:r>
      <w:r w:rsidR="000E4A0F" w:rsidRPr="00B80DFC">
        <w:rPr>
          <w:rFonts w:ascii="Times New Roman" w:hAnsi="Times New Roman" w:cs="Times New Roman"/>
          <w:color w:val="auto"/>
          <w:sz w:val="22"/>
          <w:szCs w:val="22"/>
        </w:rPr>
        <w:t>quanto a situação funcional e administrativa do</w:t>
      </w:r>
      <w:r w:rsidR="003C5B91" w:rsidRPr="00B80DFC">
        <w:rPr>
          <w:rFonts w:ascii="Times New Roman" w:hAnsi="Times New Roman" w:cs="Times New Roman"/>
          <w:color w:val="auto"/>
          <w:sz w:val="22"/>
          <w:szCs w:val="22"/>
        </w:rPr>
        <w:t>s servidores</w:t>
      </w:r>
      <w:r w:rsidR="000E4A0F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 que compõem as unidades sob sua subordinação</w:t>
      </w:r>
      <w:r w:rsidR="004D578E" w:rsidRPr="00B80DFC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52B6C868" w14:textId="77777777" w:rsidR="00082746" w:rsidRPr="00B80DFC" w:rsidRDefault="00082746" w:rsidP="00082746">
      <w:pPr>
        <w:pStyle w:val="Default"/>
        <w:spacing w:line="276" w:lineRule="auto"/>
        <w:ind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330F74" w14:textId="77777777" w:rsidR="00E95FD9" w:rsidRPr="00B80DFC" w:rsidRDefault="000E4A0F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Considerando a </w:t>
      </w:r>
      <w:r w:rsidR="00E95FD9" w:rsidRPr="00B80DFC">
        <w:rPr>
          <w:color w:val="auto"/>
          <w:sz w:val="22"/>
        </w:rPr>
        <w:t>Portaria Conjunta COLOG/C EX E DPA/PF Nº 1, DE 29 DE NOVEMBRO DE 2024, a qual dispõe sobre a aquisição de armas de fogo de uso restrito, de suas respectivas munições e de acessórios para armas de fogo por integrantes das instituições públicas de que trata o art. 34, do Decreto nº 9.847, de 25 de junho de 2019 e a transferência de armas de fogo entre o Sistema de Gerenciamento Militar de Armas e o Sistema Nacional de Arma;</w:t>
      </w:r>
    </w:p>
    <w:p w14:paraId="46E4AE88" w14:textId="77777777" w:rsidR="00E95FD9" w:rsidRPr="00B80DFC" w:rsidRDefault="00E95FD9" w:rsidP="00082746">
      <w:pPr>
        <w:spacing w:after="0" w:line="276" w:lineRule="auto"/>
        <w:ind w:left="0" w:firstLine="1418"/>
        <w:rPr>
          <w:b/>
          <w:color w:val="auto"/>
          <w:sz w:val="22"/>
        </w:rPr>
      </w:pPr>
    </w:p>
    <w:p w14:paraId="4E0865A1" w14:textId="77777777" w:rsidR="00E95FD9" w:rsidRPr="00B80DFC" w:rsidRDefault="00E95FD9" w:rsidP="00082746">
      <w:pPr>
        <w:spacing w:after="0" w:line="276" w:lineRule="auto"/>
        <w:ind w:left="0" w:firstLine="1418"/>
        <w:rPr>
          <w:b/>
          <w:color w:val="auto"/>
          <w:sz w:val="22"/>
        </w:rPr>
      </w:pPr>
      <w:r w:rsidRPr="00B80DFC">
        <w:rPr>
          <w:b/>
          <w:color w:val="auto"/>
          <w:sz w:val="22"/>
        </w:rPr>
        <w:t xml:space="preserve">R E S O L V E:  </w:t>
      </w:r>
    </w:p>
    <w:p w14:paraId="332FC39B" w14:textId="77777777" w:rsidR="000E4A0F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 </w:t>
      </w:r>
    </w:p>
    <w:p w14:paraId="4A6FDD49" w14:textId="77777777" w:rsidR="00082746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1º A aquisição, o registro, o cadastro, a transferência e a importação de armas de fogo de uso restrito, bem como a aquisição de munições de uso restrito e de acessórios de armas de fogo, </w:t>
      </w:r>
      <w:r w:rsidR="00E95FD9" w:rsidRPr="00B80DFC">
        <w:rPr>
          <w:color w:val="auto"/>
          <w:sz w:val="22"/>
        </w:rPr>
        <w:t>por integrantes das categorias funcionais do Grupo Polícia Civil</w:t>
      </w:r>
      <w:r w:rsidRPr="00B80DFC">
        <w:rPr>
          <w:color w:val="auto"/>
          <w:sz w:val="22"/>
        </w:rPr>
        <w:t xml:space="preserve">, regem-se pelas disposições legais pertinentes contidas em leis e decretos federais, além dos normativos expedidos pela Polícia Federal (PF) e pelo Comando do Exército (CEx) e, supletivamente, por esta </w:t>
      </w:r>
      <w:r w:rsidR="00E95FD9" w:rsidRPr="00B80DFC">
        <w:rPr>
          <w:color w:val="auto"/>
          <w:sz w:val="22"/>
        </w:rPr>
        <w:t>Portaria</w:t>
      </w:r>
      <w:r w:rsidRPr="00B80DFC">
        <w:rPr>
          <w:color w:val="auto"/>
          <w:sz w:val="22"/>
        </w:rPr>
        <w:t>.</w:t>
      </w:r>
    </w:p>
    <w:p w14:paraId="40891A67" w14:textId="77777777" w:rsidR="00E95FD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 </w:t>
      </w:r>
    </w:p>
    <w:p w14:paraId="66C6B5EF" w14:textId="4282861D" w:rsidR="00F62CF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2º </w:t>
      </w:r>
      <w:r w:rsidR="00E95FD9" w:rsidRPr="00B80DFC">
        <w:rPr>
          <w:color w:val="auto"/>
          <w:sz w:val="22"/>
        </w:rPr>
        <w:t xml:space="preserve">Os integrantes das categorias funcionais do Grupo Polícia Civil </w:t>
      </w:r>
      <w:r w:rsidRPr="00B80DFC">
        <w:rPr>
          <w:color w:val="auto"/>
          <w:sz w:val="22"/>
        </w:rPr>
        <w:t>interessado</w:t>
      </w:r>
      <w:r w:rsidR="00E95FD9" w:rsidRPr="00B80DFC">
        <w:rPr>
          <w:color w:val="auto"/>
          <w:sz w:val="22"/>
        </w:rPr>
        <w:t>s</w:t>
      </w:r>
      <w:r w:rsidRPr="00B80DFC">
        <w:rPr>
          <w:color w:val="auto"/>
          <w:sz w:val="22"/>
        </w:rPr>
        <w:t xml:space="preserve"> na aquisição, para uso próprio, de arma de fogo de uso restrito, dentro dos limites estabelecidos </w:t>
      </w:r>
      <w:r w:rsidR="00E95FD9" w:rsidRPr="00B80DFC">
        <w:rPr>
          <w:color w:val="auto"/>
          <w:sz w:val="22"/>
        </w:rPr>
        <w:t>pela legislação em vigor, deverão</w:t>
      </w:r>
      <w:r w:rsidRPr="00B80DFC">
        <w:rPr>
          <w:color w:val="auto"/>
          <w:sz w:val="22"/>
        </w:rPr>
        <w:t xml:space="preserve"> preencher e assinar requerimento,</w:t>
      </w:r>
      <w:r w:rsidR="00D206A9" w:rsidRPr="00B80DFC">
        <w:rPr>
          <w:color w:val="auto"/>
          <w:sz w:val="22"/>
        </w:rPr>
        <w:t xml:space="preserve"> de maneira exclusivamente digital,</w:t>
      </w:r>
      <w:r w:rsidRPr="00B80DFC">
        <w:rPr>
          <w:color w:val="auto"/>
          <w:sz w:val="22"/>
        </w:rPr>
        <w:t xml:space="preserve"> conforme modelo próprio disponibilizado pela </w:t>
      </w:r>
      <w:r w:rsidR="00F62CF3" w:rsidRPr="00B80DFC">
        <w:rPr>
          <w:color w:val="auto"/>
          <w:sz w:val="22"/>
        </w:rPr>
        <w:t>Seção de Armamento do Departamento de Recursos e Apoio Policial (DRAP)</w:t>
      </w:r>
      <w:r w:rsidRPr="00B80DFC">
        <w:rPr>
          <w:color w:val="auto"/>
          <w:sz w:val="22"/>
        </w:rPr>
        <w:t xml:space="preserve">, o qual será instruído com cópia da carteira de identidade funcional, CPF, cópia da GRU </w:t>
      </w:r>
      <w:r w:rsidR="009E19E5" w:rsidRPr="00B80DFC">
        <w:rPr>
          <w:color w:val="auto"/>
          <w:sz w:val="22"/>
        </w:rPr>
        <w:t xml:space="preserve">referente à </w:t>
      </w:r>
      <w:r w:rsidRPr="00B80DFC">
        <w:rPr>
          <w:color w:val="auto"/>
          <w:sz w:val="22"/>
        </w:rPr>
        <w:t>taxa de aquisição de Produtos Controlados pelo Exército (PCE)</w:t>
      </w:r>
      <w:r w:rsidR="009E19E5" w:rsidRPr="00B80DFC">
        <w:rPr>
          <w:color w:val="auto"/>
          <w:sz w:val="22"/>
        </w:rPr>
        <w:t xml:space="preserve"> e respectivo comprovante de pagamento.</w:t>
      </w:r>
    </w:p>
    <w:p w14:paraId="703E8DD4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2AD3EF75" w14:textId="77777777" w:rsidR="00677B6E" w:rsidRPr="00B80DFC" w:rsidRDefault="00396102" w:rsidP="00677B6E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Parágrafo único. </w:t>
      </w:r>
      <w:r w:rsidR="00F62CF3" w:rsidRPr="00B80DFC">
        <w:rPr>
          <w:color w:val="auto"/>
          <w:sz w:val="22"/>
        </w:rPr>
        <w:t>Aos integrantes do Grupo Polícia Civil já aposentados</w:t>
      </w:r>
      <w:r w:rsidRPr="00B80DFC">
        <w:rPr>
          <w:color w:val="auto"/>
          <w:sz w:val="22"/>
        </w:rPr>
        <w:t xml:space="preserve">, é necessária ainda a instrução do requerimento com </w:t>
      </w:r>
      <w:r w:rsidR="00677B6E" w:rsidRPr="00B80DFC">
        <w:rPr>
          <w:color w:val="auto"/>
          <w:sz w:val="22"/>
        </w:rPr>
        <w:t xml:space="preserve">laudo de aptidão psicológica, nos termos da Portaria Conjunta COLOG/C EX e DPA/PF Nº 1, de 29 de novembro de 2024. </w:t>
      </w:r>
    </w:p>
    <w:p w14:paraId="1F9635A5" w14:textId="77777777" w:rsidR="00F62CF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lastRenderedPageBreak/>
        <w:t xml:space="preserve"> </w:t>
      </w:r>
    </w:p>
    <w:p w14:paraId="6094C21F" w14:textId="50847DCB" w:rsidR="00F62CF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3º </w:t>
      </w:r>
      <w:r w:rsidR="00D06633" w:rsidRPr="00B80DFC">
        <w:rPr>
          <w:color w:val="auto"/>
          <w:sz w:val="22"/>
        </w:rPr>
        <w:t xml:space="preserve">O pedido de aquisição ou transferência de arma de fogo será apresentado perante a chefia da unidade na qual o servidor é lotado, o qual </w:t>
      </w:r>
      <w:r w:rsidR="00B80DFC" w:rsidRPr="00B80DFC">
        <w:rPr>
          <w:color w:val="auto"/>
          <w:sz w:val="22"/>
        </w:rPr>
        <w:t>se</w:t>
      </w:r>
      <w:r w:rsidR="00D06633" w:rsidRPr="00B80DFC">
        <w:rPr>
          <w:color w:val="auto"/>
          <w:sz w:val="22"/>
        </w:rPr>
        <w:t xml:space="preserve"> manifestará sobre </w:t>
      </w:r>
      <w:r w:rsidR="00B80DFC" w:rsidRPr="00B80DFC">
        <w:rPr>
          <w:color w:val="auto"/>
          <w:sz w:val="22"/>
        </w:rPr>
        <w:t>eventual ocorrência prevista</w:t>
      </w:r>
      <w:r w:rsidR="00D06633" w:rsidRPr="00B80DFC">
        <w:rPr>
          <w:color w:val="auto"/>
          <w:sz w:val="22"/>
        </w:rPr>
        <w:t xml:space="preserve"> no artigo 63 do Decreto nº 11.615/2023 e encaminhará a documentação para a</w:t>
      </w:r>
      <w:r w:rsidR="00F62CF3" w:rsidRPr="00B80DFC">
        <w:rPr>
          <w:color w:val="auto"/>
          <w:sz w:val="22"/>
        </w:rPr>
        <w:t xml:space="preserve"> Seção de Armamento</w:t>
      </w:r>
      <w:r w:rsidR="00EF54D7">
        <w:rPr>
          <w:color w:val="auto"/>
          <w:sz w:val="22"/>
        </w:rPr>
        <w:t>, a qual</w:t>
      </w:r>
      <w:bookmarkStart w:id="0" w:name="_GoBack"/>
      <w:bookmarkEnd w:id="0"/>
      <w:r w:rsidRPr="00B80DFC">
        <w:rPr>
          <w:color w:val="auto"/>
          <w:sz w:val="22"/>
        </w:rPr>
        <w:t xml:space="preserve"> realizará a consolidação do pedido de aquisição de arma de fogo de uso restrito ou de transferência de propriedade de arma de fogo de uso restrito, com as pertinentes e necessárias informações acerca da existência ou não de restrição ou suspensão do porte legal de arma de fogo, a fim de subsidiar manifestação do Delegado-Geral de Polícia Civil. </w:t>
      </w:r>
    </w:p>
    <w:p w14:paraId="45E80E88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72824721" w14:textId="77777777" w:rsidR="006A51E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§1º Após a manifestação favorável do Delegado-Geral de Polícia Civil, a </w:t>
      </w:r>
      <w:r w:rsidR="00F62CF3" w:rsidRPr="00B80DFC">
        <w:rPr>
          <w:color w:val="auto"/>
          <w:sz w:val="22"/>
        </w:rPr>
        <w:t>Seção de Armamento</w:t>
      </w:r>
      <w:r w:rsidRPr="00B80DFC">
        <w:rPr>
          <w:color w:val="auto"/>
          <w:sz w:val="22"/>
        </w:rPr>
        <w:t xml:space="preserve"> remeterá o processo à Polícia Federal, com cópia ao interessado para acompanhamento. </w:t>
      </w:r>
    </w:p>
    <w:p w14:paraId="0AEFA105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2601032D" w14:textId="77777777" w:rsidR="00082746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>§2º Expedida a autorização, as tratativas da compra devem ser realizadas diretamente entre o adquirente e o fornecedor.</w:t>
      </w:r>
    </w:p>
    <w:p w14:paraId="0FE39E55" w14:textId="77777777" w:rsidR="006A51E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 </w:t>
      </w:r>
    </w:p>
    <w:p w14:paraId="2A3DD336" w14:textId="7A3468CE" w:rsidR="006A51E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>§3º A autorização para a aquisição de arma de fogo de uso restrito tem validade de 180 (cento e oitenta dias) e deverá ser apresentada ao fornecedor por ocasião da aquisição, com a identificação pessoal do adquirente</w:t>
      </w:r>
      <w:r w:rsidR="006000F2" w:rsidRPr="00B80DFC">
        <w:rPr>
          <w:color w:val="auto"/>
          <w:sz w:val="22"/>
        </w:rPr>
        <w:t>, o qual, dentro de tal prazo, contado da data da assinatura da autorização por parte do Exército Brasileiro, deverá promover o respectivo registro SINARM, conforme procedimento próprio perante a Polícia Federal.</w:t>
      </w:r>
    </w:p>
    <w:p w14:paraId="20DC782A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44FAA9EA" w14:textId="77777777" w:rsidR="006A51E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§4º As armas de fogo de uso restrito adquiridas pelos </w:t>
      </w:r>
      <w:r w:rsidR="006A51E3" w:rsidRPr="00B80DFC">
        <w:rPr>
          <w:color w:val="auto"/>
          <w:sz w:val="22"/>
        </w:rPr>
        <w:t>integrantes do Grupo Polícia Civil do Estado do Mato Grosso do Sul</w:t>
      </w:r>
      <w:r w:rsidRPr="00B80DFC">
        <w:rPr>
          <w:color w:val="auto"/>
          <w:sz w:val="22"/>
        </w:rPr>
        <w:t xml:space="preserve"> deverão ser cadastradas e registradas no SINARM, na forma e de acordo com os requisitos estabelecidos pela Polícia Federal. </w:t>
      </w:r>
    </w:p>
    <w:p w14:paraId="5F555ADC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688B967E" w14:textId="77777777" w:rsidR="006A51E3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4º A aquisição por transferência, de armas de fogo de uso restrito, entre o Sistema de Gerenciamento Militar de Armas (SIGMA) e o Sistema Nacional de Armas (SINARM), observará, no que couber, as prescrições desta </w:t>
      </w:r>
      <w:r w:rsidR="006A51E3" w:rsidRPr="00B80DFC">
        <w:rPr>
          <w:color w:val="auto"/>
          <w:sz w:val="22"/>
        </w:rPr>
        <w:t>Portaria</w:t>
      </w:r>
      <w:r w:rsidRPr="00B80DFC">
        <w:rPr>
          <w:color w:val="auto"/>
          <w:sz w:val="22"/>
        </w:rPr>
        <w:t xml:space="preserve">, devendo o interessado preencher e assinar requerimento próprio, conforme modelo disponibilizado pela </w:t>
      </w:r>
      <w:r w:rsidR="006A51E3" w:rsidRPr="00B80DFC">
        <w:rPr>
          <w:color w:val="auto"/>
          <w:sz w:val="22"/>
        </w:rPr>
        <w:t>Seção de Armamento</w:t>
      </w:r>
      <w:r w:rsidRPr="00B80DFC">
        <w:rPr>
          <w:color w:val="auto"/>
          <w:sz w:val="22"/>
        </w:rPr>
        <w:t xml:space="preserve">, a qual zelará pela correta instrução do pedido, com a documentação pertinente, conforme descrição contida no Art. 2º. </w:t>
      </w:r>
    </w:p>
    <w:p w14:paraId="4E19412E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39E660A5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5º A aquisição de armas de fogo de uso restrito, mediante importação, pelos </w:t>
      </w:r>
      <w:r w:rsidR="006A51E3" w:rsidRPr="00B80DFC">
        <w:rPr>
          <w:color w:val="auto"/>
          <w:sz w:val="22"/>
        </w:rPr>
        <w:t>integrantes do Grupo Polícia Civil do Estado do Mato Grosso do Sul</w:t>
      </w:r>
      <w:r w:rsidRPr="00B80DFC">
        <w:rPr>
          <w:color w:val="auto"/>
          <w:sz w:val="22"/>
        </w:rPr>
        <w:t xml:space="preserve">, dar-se-á nas condições dispostas em sede da Portaria nº 1.729, do Comando do Exército, de 29 de outubro de 2019, ou norma posterior que a venha substituir. </w:t>
      </w:r>
    </w:p>
    <w:p w14:paraId="56167919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3730A826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6º A aquisição de munição de uso restrito, na indústria ou no comércio, deve ser realizada </w:t>
      </w:r>
      <w:r w:rsidR="009F0319" w:rsidRPr="00B80DFC">
        <w:rPr>
          <w:color w:val="auto"/>
          <w:sz w:val="22"/>
        </w:rPr>
        <w:t xml:space="preserve">pelos integrantes do Grupo Polícia Civil </w:t>
      </w:r>
      <w:r w:rsidRPr="00B80DFC">
        <w:rPr>
          <w:color w:val="auto"/>
          <w:sz w:val="22"/>
        </w:rPr>
        <w:t xml:space="preserve">diretamente junto ao fornecedor, condicionada à apresentação do CRAF válido da arma de fogo e da identificação funcional do adquirente, sendo dispensados quaisquer procedimentos junto à </w:t>
      </w:r>
      <w:r w:rsidR="009F0319" w:rsidRPr="00B80DFC">
        <w:rPr>
          <w:color w:val="auto"/>
          <w:sz w:val="22"/>
        </w:rPr>
        <w:t>Seção de Armamento</w:t>
      </w:r>
      <w:r w:rsidRPr="00B80DFC">
        <w:rPr>
          <w:color w:val="auto"/>
          <w:sz w:val="22"/>
        </w:rPr>
        <w:t xml:space="preserve">. </w:t>
      </w:r>
    </w:p>
    <w:p w14:paraId="60AF7B24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4713FCE7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Parágrafo único. A quantidade anual de munição de uso restrito que cada </w:t>
      </w:r>
      <w:r w:rsidR="009F0319" w:rsidRPr="00B80DFC">
        <w:rPr>
          <w:color w:val="auto"/>
          <w:sz w:val="22"/>
        </w:rPr>
        <w:t xml:space="preserve">integrante do Grupo Polícia Civil </w:t>
      </w:r>
      <w:r w:rsidRPr="00B80DFC">
        <w:rPr>
          <w:color w:val="auto"/>
          <w:sz w:val="22"/>
        </w:rPr>
        <w:t xml:space="preserve">poderá adquirir será de até 600 (seiscentos) cartuchos por arma registrada. </w:t>
      </w:r>
    </w:p>
    <w:p w14:paraId="64DA082D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1B789385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lastRenderedPageBreak/>
        <w:t xml:space="preserve">Art. 7º A aquisição de acessórios de armas de fogo, considerados "Produtos Controlados pelo Exército - PCE", para as armas cadastradas no SINARM, deverá ser previamente autorizada pelo Exército. </w:t>
      </w:r>
    </w:p>
    <w:p w14:paraId="7BC021BD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14DB5A5B" w14:textId="397669C0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>§1º O processo de aquisição de acessórios observará os procedimentos previstos no</w:t>
      </w:r>
      <w:r w:rsidR="00CE0A1E" w:rsidRPr="00B80DFC">
        <w:rPr>
          <w:color w:val="auto"/>
          <w:sz w:val="22"/>
        </w:rPr>
        <w:t>s</w:t>
      </w:r>
      <w:r w:rsidRPr="00B80DFC">
        <w:rPr>
          <w:color w:val="auto"/>
          <w:sz w:val="22"/>
        </w:rPr>
        <w:t xml:space="preserve"> art</w:t>
      </w:r>
      <w:r w:rsidR="00CE0A1E" w:rsidRPr="00B80DFC">
        <w:rPr>
          <w:color w:val="auto"/>
          <w:sz w:val="22"/>
        </w:rPr>
        <w:t>igos</w:t>
      </w:r>
      <w:r w:rsidRPr="00B80DFC">
        <w:rPr>
          <w:color w:val="auto"/>
          <w:sz w:val="22"/>
        </w:rPr>
        <w:t xml:space="preserve"> 2º</w:t>
      </w:r>
      <w:r w:rsidR="00CE0A1E" w:rsidRPr="00B80DFC">
        <w:rPr>
          <w:color w:val="auto"/>
          <w:sz w:val="22"/>
        </w:rPr>
        <w:t xml:space="preserve"> e 3º</w:t>
      </w:r>
      <w:r w:rsidRPr="00B80DFC">
        <w:rPr>
          <w:color w:val="auto"/>
          <w:sz w:val="22"/>
        </w:rPr>
        <w:t xml:space="preserve">, desta Instrução Normativa, devendo o interessado preencher e assinar requerimento próprio, conforme modelo disponibilizado pela </w:t>
      </w:r>
      <w:r w:rsidR="009F0319" w:rsidRPr="00B80DFC">
        <w:rPr>
          <w:color w:val="auto"/>
          <w:sz w:val="22"/>
        </w:rPr>
        <w:t>Seção de Armamento</w:t>
      </w:r>
      <w:r w:rsidRPr="00B80DFC">
        <w:rPr>
          <w:color w:val="auto"/>
          <w:sz w:val="22"/>
        </w:rPr>
        <w:t xml:space="preserve">, contendo a justificativa do pedido, nos termos do disposto no artigo 30, §3º, da Portaria Conjunta COLOG/C EX e DPA/PF Nº 1, de 29 de novembro de 2024. </w:t>
      </w:r>
    </w:p>
    <w:p w14:paraId="3E2610ED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556432F5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§2º Deverão ser anexados ao requerimento a identificação pessoal, o Certificado de Registro de Arma de Fogo - CRAF da arma na qual será utilizado o acessório, e a cópia da GRU com o respectivo comprovante de pagamento, relativo à taxa de aquisição de PCE. </w:t>
      </w:r>
    </w:p>
    <w:p w14:paraId="0003B933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29E484FD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8º O proprietário de arma de fogo de uso restrito que deixar de pertencer </w:t>
      </w:r>
      <w:r w:rsidR="009F0319" w:rsidRPr="00B80DFC">
        <w:rPr>
          <w:color w:val="auto"/>
          <w:sz w:val="22"/>
        </w:rPr>
        <w:t>ao Grupo</w:t>
      </w:r>
      <w:r w:rsidRPr="00B80DFC">
        <w:rPr>
          <w:color w:val="auto"/>
          <w:sz w:val="22"/>
        </w:rPr>
        <w:t xml:space="preserve"> Polícia Civil do </w:t>
      </w:r>
      <w:r w:rsidR="009F0319" w:rsidRPr="00B80DFC">
        <w:rPr>
          <w:color w:val="auto"/>
          <w:sz w:val="22"/>
        </w:rPr>
        <w:t>Estado do Mato Grosso do Sul</w:t>
      </w:r>
      <w:r w:rsidRPr="00B80DFC">
        <w:rPr>
          <w:color w:val="auto"/>
          <w:sz w:val="22"/>
        </w:rPr>
        <w:t xml:space="preserve">, a pedido ou ex officio, ou tiver o seu porte de arma de fogo cassado ou a autorização para portar arma de fogo revogada, terá a sua arma de fogo recolhida pelo dirigente da unidade de sua última lotação, mediante recibo, que por sua vez a remeterá à </w:t>
      </w:r>
      <w:r w:rsidR="009F0319" w:rsidRPr="00B80DFC">
        <w:rPr>
          <w:color w:val="auto"/>
          <w:sz w:val="22"/>
        </w:rPr>
        <w:t>Seção de Armamento</w:t>
      </w:r>
      <w:r w:rsidRPr="00B80DFC">
        <w:rPr>
          <w:color w:val="auto"/>
          <w:sz w:val="22"/>
        </w:rPr>
        <w:t xml:space="preserve">, devendo a arma, no prazo de até 90 (noventa) dias, contados da data do desligamento, da cassação ou da revogação do porte, ser transferida a quem esteja autorizado a adquiri-la ou encaminhada à Polícia Federal , nos termos do art. 31, da Lei no 10.826, de 22 de dezembro de 2003. </w:t>
      </w:r>
    </w:p>
    <w:p w14:paraId="3ECE9EE0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17B1CB2F" w14:textId="77777777" w:rsidR="009F0319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9º Os casos omissos e as dúvidas surgidas na aplicação desta norma serão dirimidos pela </w:t>
      </w:r>
      <w:r w:rsidR="009F0319" w:rsidRPr="00B80DFC">
        <w:rPr>
          <w:color w:val="auto"/>
          <w:sz w:val="22"/>
        </w:rPr>
        <w:t>Seção de Armamento do Departamento de Recursos e Apoio Policial (DRAP)</w:t>
      </w:r>
      <w:r w:rsidRPr="00B80DFC">
        <w:rPr>
          <w:color w:val="auto"/>
          <w:sz w:val="22"/>
        </w:rPr>
        <w:t xml:space="preserve">. </w:t>
      </w:r>
    </w:p>
    <w:p w14:paraId="1ACC971A" w14:textId="77777777" w:rsidR="00082746" w:rsidRPr="00B80DFC" w:rsidRDefault="00082746" w:rsidP="00082746">
      <w:pPr>
        <w:spacing w:after="0" w:line="276" w:lineRule="auto"/>
        <w:ind w:left="0" w:firstLine="1418"/>
        <w:rPr>
          <w:color w:val="auto"/>
          <w:sz w:val="22"/>
        </w:rPr>
      </w:pPr>
    </w:p>
    <w:p w14:paraId="35CD8FCC" w14:textId="77777777" w:rsidR="00976DA1" w:rsidRPr="00B80DFC" w:rsidRDefault="0039610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Art. 10. </w:t>
      </w:r>
      <w:r w:rsidR="00976DA1" w:rsidRPr="00B80DFC">
        <w:rPr>
          <w:color w:val="auto"/>
          <w:sz w:val="22"/>
        </w:rPr>
        <w:t xml:space="preserve">Esta Portaria entra em vigor na data de sua publicação.  </w:t>
      </w:r>
    </w:p>
    <w:p w14:paraId="2A12464C" w14:textId="77777777" w:rsidR="00976DA1" w:rsidRPr="00B80DFC" w:rsidRDefault="00976DA1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 </w:t>
      </w:r>
    </w:p>
    <w:p w14:paraId="1A1FAC80" w14:textId="7989209E" w:rsidR="00976DA1" w:rsidRPr="00B80DFC" w:rsidRDefault="00677262" w:rsidP="00082746">
      <w:pPr>
        <w:spacing w:after="0" w:line="276" w:lineRule="auto"/>
        <w:ind w:left="0" w:firstLine="1418"/>
        <w:rPr>
          <w:color w:val="auto"/>
          <w:sz w:val="22"/>
        </w:rPr>
      </w:pPr>
      <w:r w:rsidRPr="00B80DFC">
        <w:rPr>
          <w:color w:val="auto"/>
          <w:sz w:val="22"/>
        </w:rPr>
        <w:t xml:space="preserve">Campo Grande/MS, </w:t>
      </w:r>
      <w:r w:rsidR="009617C8">
        <w:rPr>
          <w:color w:val="auto"/>
          <w:sz w:val="22"/>
        </w:rPr>
        <w:t>16</w:t>
      </w:r>
      <w:r w:rsidR="00082746" w:rsidRPr="00B80DFC">
        <w:rPr>
          <w:color w:val="auto"/>
          <w:sz w:val="22"/>
        </w:rPr>
        <w:t xml:space="preserve"> de janeiro de 2025</w:t>
      </w:r>
      <w:r w:rsidR="00976DA1" w:rsidRPr="00B80DFC">
        <w:rPr>
          <w:color w:val="auto"/>
          <w:sz w:val="22"/>
        </w:rPr>
        <w:t xml:space="preserve">. </w:t>
      </w:r>
    </w:p>
    <w:p w14:paraId="4C296AA3" w14:textId="77777777" w:rsidR="00D26B86" w:rsidRPr="00B80DFC" w:rsidRDefault="00D26B86" w:rsidP="00082746">
      <w:pPr>
        <w:spacing w:line="276" w:lineRule="auto"/>
        <w:ind w:right="1"/>
        <w:rPr>
          <w:color w:val="auto"/>
          <w:sz w:val="22"/>
        </w:rPr>
      </w:pPr>
    </w:p>
    <w:p w14:paraId="6BECDBA2" w14:textId="77777777" w:rsidR="000974F3" w:rsidRPr="00B80DFC" w:rsidRDefault="000974F3" w:rsidP="00082746">
      <w:pPr>
        <w:spacing w:line="276" w:lineRule="auto"/>
        <w:ind w:right="1"/>
        <w:rPr>
          <w:color w:val="auto"/>
          <w:sz w:val="22"/>
        </w:rPr>
      </w:pPr>
    </w:p>
    <w:p w14:paraId="78B2CFAF" w14:textId="77777777" w:rsidR="000974F3" w:rsidRPr="00B80DFC" w:rsidRDefault="000974F3" w:rsidP="00082746">
      <w:pPr>
        <w:spacing w:line="276" w:lineRule="auto"/>
        <w:ind w:right="1"/>
        <w:rPr>
          <w:color w:val="auto"/>
          <w:sz w:val="22"/>
        </w:rPr>
      </w:pPr>
    </w:p>
    <w:p w14:paraId="7ED653E6" w14:textId="77777777" w:rsidR="00976DA1" w:rsidRPr="00B80DFC" w:rsidRDefault="00976DA1" w:rsidP="00082746">
      <w:pPr>
        <w:spacing w:after="0" w:line="276" w:lineRule="auto"/>
        <w:ind w:left="11" w:hanging="11"/>
        <w:jc w:val="center"/>
        <w:rPr>
          <w:b/>
          <w:color w:val="auto"/>
          <w:sz w:val="22"/>
        </w:rPr>
      </w:pPr>
      <w:r w:rsidRPr="00B80DFC">
        <w:rPr>
          <w:b/>
          <w:color w:val="auto"/>
          <w:sz w:val="22"/>
        </w:rPr>
        <w:t>LUPÉRSIO DEGERONE LUCIO</w:t>
      </w:r>
    </w:p>
    <w:p w14:paraId="7F5D8AF9" w14:textId="77777777" w:rsidR="00976DA1" w:rsidRPr="00B80DFC" w:rsidRDefault="00976DA1" w:rsidP="00082746">
      <w:pPr>
        <w:spacing w:after="0" w:line="276" w:lineRule="auto"/>
        <w:ind w:left="11" w:hanging="11"/>
        <w:jc w:val="center"/>
        <w:rPr>
          <w:color w:val="auto"/>
          <w:sz w:val="22"/>
        </w:rPr>
      </w:pPr>
      <w:r w:rsidRPr="00B80DFC">
        <w:rPr>
          <w:color w:val="auto"/>
          <w:sz w:val="22"/>
        </w:rPr>
        <w:t>DELEGADO-GERAL DA POLÍCIA CIVIL</w:t>
      </w:r>
    </w:p>
    <w:p w14:paraId="42A96C5E" w14:textId="77777777" w:rsidR="001357E6" w:rsidRPr="00B80DFC" w:rsidRDefault="001357E6" w:rsidP="00082746">
      <w:pPr>
        <w:spacing w:line="276" w:lineRule="auto"/>
        <w:rPr>
          <w:color w:val="auto"/>
          <w:sz w:val="22"/>
        </w:rPr>
      </w:pPr>
    </w:p>
    <w:sectPr w:rsidR="001357E6" w:rsidRPr="00B80DFC" w:rsidSect="00D26B86">
      <w:pgSz w:w="11906" w:h="16838"/>
      <w:pgMar w:top="1417" w:right="1701" w:bottom="1417" w:left="1701" w:header="0" w:footer="0" w:gutter="0"/>
      <w:cols w:space="720"/>
      <w:formProt w:val="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E8D777" w16cex:dateUtc="2025-01-14T15:16:00Z"/>
  <w16cex:commentExtensible w16cex:durableId="30AB48D6" w16cex:dateUtc="2025-01-14T14:17:00Z"/>
  <w16cex:commentExtensible w16cex:durableId="7A6EBDC0" w16cex:dateUtc="2025-01-14T14:29:00Z"/>
  <w16cex:commentExtensible w16cex:durableId="6BDEBAAD" w16cex:dateUtc="2025-01-14T14:48:00Z"/>
  <w16cex:commentExtensible w16cex:durableId="2FACDFFF" w16cex:dateUtc="2025-01-14T15:07:00Z"/>
  <w16cex:commentExtensible w16cex:durableId="4496DCAF" w16cex:dateUtc="2025-01-14T15:09:00Z"/>
  <w16cex:commentExtensible w16cex:durableId="7971DB1D" w16cex:dateUtc="2025-01-14T15:15:00Z"/>
  <w16cex:commentExtensible w16cex:durableId="1DCCF6EB" w16cex:dateUtc="2025-01-14T15:21:00Z"/>
  <w16cex:commentExtensible w16cex:durableId="5601313A" w16cex:dateUtc="2025-01-14T15:32:00Z"/>
  <w16cex:commentExtensible w16cex:durableId="176609DB" w16cex:dateUtc="2025-01-14T15:34:00Z"/>
  <w16cex:commentExtensible w16cex:durableId="4F20926A" w16cex:dateUtc="2025-01-14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C4C4B2" w16cid:durableId="64E8D777"/>
  <w16cid:commentId w16cid:paraId="6509841C" w16cid:durableId="30AB48D6"/>
  <w16cid:commentId w16cid:paraId="4CF9259F" w16cid:durableId="7A6EBDC0"/>
  <w16cid:commentId w16cid:paraId="2946937C" w16cid:durableId="6BDEBAAD"/>
  <w16cid:commentId w16cid:paraId="2D379432" w16cid:durableId="2FACDFFF"/>
  <w16cid:commentId w16cid:paraId="3B977277" w16cid:durableId="4496DCAF"/>
  <w16cid:commentId w16cid:paraId="245FD031" w16cid:durableId="7971DB1D"/>
  <w16cid:commentId w16cid:paraId="47FC399B" w16cid:durableId="1DCCF6EB"/>
  <w16cid:commentId w16cid:paraId="47A59A86" w16cid:durableId="5601313A"/>
  <w16cid:commentId w16cid:paraId="598485EC" w16cid:durableId="176609DB"/>
  <w16cid:commentId w16cid:paraId="5E935283" w16cid:durableId="4F2092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A1"/>
    <w:rsid w:val="000058EE"/>
    <w:rsid w:val="00082746"/>
    <w:rsid w:val="000974F3"/>
    <w:rsid w:val="000A1891"/>
    <w:rsid w:val="000E4A0F"/>
    <w:rsid w:val="000E602F"/>
    <w:rsid w:val="001357E6"/>
    <w:rsid w:val="00151E17"/>
    <w:rsid w:val="001A5919"/>
    <w:rsid w:val="001A7074"/>
    <w:rsid w:val="0020095A"/>
    <w:rsid w:val="00256C09"/>
    <w:rsid w:val="002621AE"/>
    <w:rsid w:val="002D2B8F"/>
    <w:rsid w:val="003074AF"/>
    <w:rsid w:val="00313184"/>
    <w:rsid w:val="0031778A"/>
    <w:rsid w:val="0032473E"/>
    <w:rsid w:val="00372AAA"/>
    <w:rsid w:val="00395697"/>
    <w:rsid w:val="00396102"/>
    <w:rsid w:val="003C5B91"/>
    <w:rsid w:val="003E7183"/>
    <w:rsid w:val="00490127"/>
    <w:rsid w:val="004D578E"/>
    <w:rsid w:val="0052501C"/>
    <w:rsid w:val="00564B66"/>
    <w:rsid w:val="00596CA7"/>
    <w:rsid w:val="00597666"/>
    <w:rsid w:val="005D3E28"/>
    <w:rsid w:val="006000F2"/>
    <w:rsid w:val="00651CDE"/>
    <w:rsid w:val="00677262"/>
    <w:rsid w:val="00677B6E"/>
    <w:rsid w:val="0069670E"/>
    <w:rsid w:val="006A51E3"/>
    <w:rsid w:val="007148F0"/>
    <w:rsid w:val="007D1EAC"/>
    <w:rsid w:val="007E175B"/>
    <w:rsid w:val="008E4154"/>
    <w:rsid w:val="00934F25"/>
    <w:rsid w:val="009617C8"/>
    <w:rsid w:val="00976DA1"/>
    <w:rsid w:val="00982F7A"/>
    <w:rsid w:val="009A06A2"/>
    <w:rsid w:val="009E19E5"/>
    <w:rsid w:val="009F0319"/>
    <w:rsid w:val="00A27852"/>
    <w:rsid w:val="00AD6FB8"/>
    <w:rsid w:val="00B10688"/>
    <w:rsid w:val="00B23A2D"/>
    <w:rsid w:val="00B56568"/>
    <w:rsid w:val="00B61932"/>
    <w:rsid w:val="00B66928"/>
    <w:rsid w:val="00B80DFC"/>
    <w:rsid w:val="00C31D1D"/>
    <w:rsid w:val="00C67CF9"/>
    <w:rsid w:val="00C7324A"/>
    <w:rsid w:val="00C7711D"/>
    <w:rsid w:val="00C8035A"/>
    <w:rsid w:val="00CE0A1E"/>
    <w:rsid w:val="00D06633"/>
    <w:rsid w:val="00D206A9"/>
    <w:rsid w:val="00D26B86"/>
    <w:rsid w:val="00DC1066"/>
    <w:rsid w:val="00E02510"/>
    <w:rsid w:val="00E073C5"/>
    <w:rsid w:val="00E1689A"/>
    <w:rsid w:val="00E37349"/>
    <w:rsid w:val="00E65B22"/>
    <w:rsid w:val="00E95FD9"/>
    <w:rsid w:val="00EA2CEB"/>
    <w:rsid w:val="00EF54D7"/>
    <w:rsid w:val="00F04718"/>
    <w:rsid w:val="00F07DF4"/>
    <w:rsid w:val="00F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99E9"/>
  <w15:chartTrackingRefBased/>
  <w15:docId w15:val="{53D2D94B-6C11-48C2-B2FB-0E62AE4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A1"/>
    <w:pPr>
      <w:suppressAutoHyphens/>
      <w:spacing w:after="208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976DA1"/>
    <w:pPr>
      <w:suppressAutoHyphens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73C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F25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074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74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74A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74A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Eduardo Santana Davanço</dc:creator>
  <cp:keywords/>
  <dc:description/>
  <cp:lastModifiedBy>Ricardo Meirelles Bernardinelli</cp:lastModifiedBy>
  <cp:revision>4</cp:revision>
  <cp:lastPrinted>2025-01-15T12:43:00Z</cp:lastPrinted>
  <dcterms:created xsi:type="dcterms:W3CDTF">2025-01-15T12:42:00Z</dcterms:created>
  <dcterms:modified xsi:type="dcterms:W3CDTF">2025-01-15T12:50:00Z</dcterms:modified>
</cp:coreProperties>
</file>