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97A" w:rsidRDefault="005B797A" w:rsidP="005B797A">
      <w:pPr>
        <w:pStyle w:val="Ttulo2"/>
        <w:rPr>
          <w:sz w:val="22"/>
        </w:rPr>
      </w:pPr>
      <w:bookmarkStart w:id="0" w:name="_Toc28167014"/>
      <w:bookmarkStart w:id="1" w:name="_Toc36605389"/>
      <w:r>
        <w:t xml:space="preserve">Solicitação de exame pericial (Jogos eletrônicos de </w:t>
      </w:r>
      <w:proofErr w:type="gramStart"/>
      <w:r>
        <w:t>azar)-</w:t>
      </w:r>
      <w:proofErr w:type="gramEnd"/>
      <w:r>
        <w:t xml:space="preserve"> Modelo 23-</w:t>
      </w:r>
      <w:bookmarkEnd w:id="0"/>
      <w:bookmarkEnd w:id="1"/>
    </w:p>
    <w:p w:rsidR="005B797A" w:rsidRDefault="005B797A" w:rsidP="005B797A">
      <w:pPr>
        <w:pStyle w:val="NormalWeb"/>
        <w:spacing w:line="200" w:lineRule="exact"/>
        <w:ind w:left="72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default"/>
          <w:sz w:val="22"/>
        </w:rPr>
        <w:t>*</w:t>
      </w:r>
      <w:r>
        <w:rPr>
          <w:rFonts w:ascii="Times New Roman" w:hAnsi="Times New Roman" w:cs="Times New Roman"/>
          <w:sz w:val="22"/>
        </w:rPr>
        <w:t>Recomenda-se, para fins de eventual caracterização de crime contra a economia popular (art.2</w:t>
      </w:r>
      <w:r>
        <w:rPr>
          <w:rFonts w:ascii="Times New Roman" w:hAnsi="Times New Roman" w:cs="Times New Roman"/>
          <w:sz w:val="22"/>
        </w:rPr>
        <w:t>º</w:t>
      </w:r>
      <w:r>
        <w:rPr>
          <w:rFonts w:ascii="Times New Roman" w:hAnsi="Times New Roman" w:cs="Times New Roman"/>
          <w:sz w:val="22"/>
        </w:rPr>
        <w:t>, inciso IX, da Lei n</w:t>
      </w:r>
      <w:r>
        <w:rPr>
          <w:rFonts w:ascii="Times New Roman" w:hAnsi="Times New Roman" w:cs="Times New Roman"/>
          <w:sz w:val="22"/>
        </w:rPr>
        <w:t>º</w:t>
      </w:r>
      <w:r>
        <w:rPr>
          <w:rFonts w:ascii="Times New Roman" w:hAnsi="Times New Roman" w:cs="Times New Roman"/>
          <w:sz w:val="22"/>
        </w:rPr>
        <w:t xml:space="preserve"> 1.521/51), a elaboração dos seguintes quesitos: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Qual a origem de fabricação da máquina?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Qual o modelo ou marca da máquina?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Os seus componentes eletrônicos têm a mesma origem (nacionalidade e fabricante)? Se negativo, onde e por quem foram fabricados? Qual a origem do país fabricante das placas ou C P </w:t>
      </w:r>
      <w:proofErr w:type="spellStart"/>
      <w:r>
        <w:t>Us</w:t>
      </w:r>
      <w:proofErr w:type="spellEnd"/>
      <w:r>
        <w:t xml:space="preserve">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Há identificação do fabricante, por meio de lacre fixado na máquina? Este lacre apresenta-se íntegro ou violado? Este lacre poderia ter sido substituído por outro não original?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A máquina conta com nota fiscal e/ou guia de importação?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Os dados específicos constantes na nota fiscal e/ou guia de importação são coincidentes com os apresentados na máquina examinada? E os componentes eletrônicos (placas e C P U s) são coincidentes com as informações da nota fiscal e/ou guia de importação?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A CPU, as placas e/ou componentes de programação (memória) constantes da máquina permitem suas substituições? Estas substituições, se ocorridas, deixam vestígios?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É possível efetuar rastreabilidade – aferição entre os componentes eletrônicos (placas e memória) e o equipamento em que foram montados – desses componentes?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Na máquina em questão, houve substituição de peça?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A máquina possui dispositivo do tipo </w:t>
      </w:r>
      <w:proofErr w:type="spellStart"/>
      <w:r>
        <w:t>micro-chave</w:t>
      </w:r>
      <w:proofErr w:type="spellEnd"/>
      <w:r>
        <w:t xml:space="preserve"> ou switches?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  <w:ind w:left="1434" w:hanging="357"/>
      </w:pPr>
      <w:r>
        <w:t xml:space="preserve">Essas </w:t>
      </w:r>
      <w:proofErr w:type="spellStart"/>
      <w:r>
        <w:t>micro-chaves</w:t>
      </w:r>
      <w:proofErr w:type="spellEnd"/>
      <w:r>
        <w:t xml:space="preserve"> ou switches são acionadas manualmente?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  <w:ind w:left="1434" w:hanging="357"/>
      </w:pPr>
      <w:r>
        <w:t xml:space="preserve">De que modo se dá esse acionamento </w:t>
      </w:r>
      <w:proofErr w:type="gramStart"/>
      <w:r>
        <w:t>manual ?</w:t>
      </w:r>
      <w:proofErr w:type="gramEnd"/>
    </w:p>
    <w:p w:rsidR="005B797A" w:rsidRDefault="005B797A" w:rsidP="005B797A">
      <w:pPr>
        <w:numPr>
          <w:ilvl w:val="1"/>
          <w:numId w:val="1"/>
        </w:numPr>
        <w:tabs>
          <w:tab w:val="left" w:pos="4962"/>
        </w:tabs>
        <w:spacing w:before="100" w:beforeAutospacing="1" w:after="100" w:afterAutospacing="1" w:line="200" w:lineRule="exact"/>
        <w:ind w:left="1434" w:hanging="357"/>
      </w:pPr>
      <w:r>
        <w:t xml:space="preserve">Esse acionamento manual permite alterar a programação, modificando a probabilidade de ganho do jogo – o pagamento -, tornando a máquina mais difícil ou mais fácil para o jogador?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  <w:ind w:left="1434" w:hanging="357"/>
      </w:pPr>
      <w:r>
        <w:t xml:space="preserve">Qual a porcentagem de pagamento da máquina examinada?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  <w:ind w:left="1434" w:hanging="357"/>
      </w:pPr>
      <w:r>
        <w:t xml:space="preserve">Diante do exame realizado, o resultado do jogo (vitória ou não do jogador), depende exclusivamente da habilidade ou da sorte?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Esse resultado pode ser manipulado pelo acionamento das </w:t>
      </w:r>
      <w:proofErr w:type="spellStart"/>
      <w:r>
        <w:t>micro-chaves</w:t>
      </w:r>
      <w:proofErr w:type="spellEnd"/>
      <w:r>
        <w:t xml:space="preserve"> ou switches?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A máquina possui laudo de aprovação inicial? </w:t>
      </w:r>
    </w:p>
    <w:p w:rsidR="005B797A" w:rsidRDefault="005B797A" w:rsidP="005B797A">
      <w:pPr>
        <w:numPr>
          <w:ilvl w:val="1"/>
          <w:numId w:val="1"/>
        </w:numPr>
        <w:spacing w:before="100" w:beforeAutospacing="1" w:after="100" w:afterAutospacing="1" w:line="200" w:lineRule="exact"/>
      </w:pPr>
      <w:r>
        <w:t xml:space="preserve">Esse laudo de aprovação inicial possui os detalhes técnicos mencionados nos itens anteriores? E a conclusão desse laudo é objetiva em concluir pela caracterização da máquina como jogo de azar? </w:t>
      </w:r>
    </w:p>
    <w:p w:rsidR="003E092C" w:rsidRDefault="005B797A" w:rsidP="005B797A">
      <w:r>
        <w:t>Diante do examinado, na opinião dos srs. Peritos, a máquina caracteriza jogo de azar</w:t>
      </w:r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C6F06"/>
    <w:multiLevelType w:val="hybridMultilevel"/>
    <w:tmpl w:val="FE3CFE08"/>
    <w:lvl w:ilvl="0" w:tplc="3A147F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3C8A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02AB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66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74DA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BA9F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E6B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B639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92E0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97A"/>
    <w:rsid w:val="003E092C"/>
    <w:rsid w:val="005B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7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797A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B797A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NormalWeb">
    <w:name w:val="Normal (Web)"/>
    <w:basedOn w:val="Normal"/>
    <w:semiHidden/>
    <w:rsid w:val="005B797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Solicitação de exame pericial (jogos de Azar)</Template>
  <TotalTime>1</TotalTime>
  <Pages>1</Pages>
  <Words>359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2016-09-14T15:45:00Z</dcterms:created>
  <dcterms:modified xsi:type="dcterms:W3CDTF">2016-09-14T15:46:00Z</dcterms:modified>
</cp:coreProperties>
</file>