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b/>
          <w:color w:val="000000"/>
          <w:sz w:val="24"/>
          <w:szCs w:val="24"/>
        </w:rPr>
        <w:t>DECRETO Nº 14.164, DE 27 DE ABRIL DE 2015.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Estabelece a estrutura básica da Secretaria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 Estado de Justiça e Segurança Pública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(SEJUSP), e dá outras providências.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O GOVERNADOR DO ESTADO DE MATO GROSSO DO SUL, no exercício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da competência que lhe confere o art. 89, incisos VII e IX, da Constituição Estadual,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tendo em vista o disposto na Lei nº 4.640, de 24 de dezembro de 2014,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 E C R E T 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CAPÍTULO 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DA COMPETÊNCIA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1º A Secretaria de Estado de Justiça e Segurança Pública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(SEJUSP), órgão integrante das Estruturas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Finalísticas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de Gestão da Administração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Poder Executivo, nos termos da Lei nº 4.640, de 24 de dezembro de 2014, tem como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atribuição a promoção e a aplicação de medidas necessárias à preservação da ordem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e da segurança pública; a repressão criminal e a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ressocialização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dos condenados pela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justiça, tendo por diretriz o respeito aos direitos e às garantias fundamentais.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2º À Secretaria de Estado de Justiça e Segurança Pública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a promoção das medidas necessárias à preservação da ordem e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segurança pública, à defesa dos direitos humanos e à incolumidade da pessoa e do patrimônio,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por meio de suas unidades e de seus órgãos subordinados e vinculados;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a apuração das infrações penais por meio da Polícia Civil, ressalvadas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aquelas de competência da União e excetuadas as relativas aos militares; compete,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também, o exercício das funções de polícia judiciária, de apoio às autoridades do Poder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Judiciário e aos membros do Ministério Público;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o policiamento ostensivo e preventivo, por meio da Polícia Militar,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 manutenção da ordem pública, da defesa do meio ambiente, da segurança de trânsito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urbano e rodoviário estadual e da guarda externa dos presídios;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IV - a defesa civil da população, por intermédio do Corpo de Bombeiros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Militar, em casos de calamidades, bem como a prestação dos serviços de prevenção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extinção de incêndios, a busca, o salvamento e o socorro público;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 - o estabelecimento do Plano Geral de Policiamento do Estado, visando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à execução articulada e coordenada das ações da Polícia Civil e da Polícia Militar;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 - a coordenação e a supervisão da aplicação da legislação de trânsito,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observadas as competências do Estado, exercendo o controle nos centros urbanos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 fiscalização nas rodovias estaduais e nas áreas urbanas, por delegação dos municípios;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VII - a proposição de normas para aplicação da legislação de trânsito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considerando a competência do Estado, coordenando e exercendo supervisão técnica,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acompanhamento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e avaliação da execução de tais atividades;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VIII - a elaboração de planos para a prevenção e a repressão ao uso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ao tráfico de drogas, bem como a execução de ações para esses fins, em articulação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com os órgãos federais, estaduais, municipais, conselhos e sociedade civil organizadas,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competentes;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IX - a composição, a supervisão e a execução da política penitenciária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 Estado e de coordenação, controle e administração dos estabelecimentos prisionais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 Estado de Mato Grosso do Sul;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 - a reeducação do interno e a promoção de sua capacitação profissional,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acordo com o diagnóstico de sua personalidade;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XI - o desenvolvimento de ações de assistência social e jurídica aos internos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a suas famílias, em articulação com a Secretaria de Estado de Direitos Humanos,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Assistência Social e Trabalho;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XII - a assessoria jurídica aos municípios, em assuntos pertinentes às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atividades da Pasta, em colaboração com a Procuradoria-Geral do Estado e mediante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provocação da Secretaria de Estado de Governo e Gestão Estratégica;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XIII - a supervisão, a fiscalização e a execução das ações voltadas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à proteção, à preservação e ao resguardo do meio ambiente, dos recursos naturais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dos sistemas ecológicos, com vínculo administrativo à Secretaria de Estado de Meio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Ambiente e Desenvolvimento Econômico;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XIV - a formação, a orientação, a capacitação e o aperfeiçoamento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dos integrantes da Polícia Civil, Polícia Militar, Corpo de Bombeiros Militar,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Superintendência de Assistência Socioeducativa e da Agência Estadual de 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 Sistema Penitenciário de Mato Grosso do Sul, por meio das respectivas casas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ensino, e mediante convênio remunerado de guardas municipais, por solicitação 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respectivos prefeitos;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XV - o planejamento e a execução de atividades relacionadas à segurança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pessoal de autoridades públicas do Poder Executivo e de outros Poderes, quando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solicitado, por meio de execução das ações de vigilância e guarda dos seus locais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trabalho, residências, bem como em eventos públicos e em viagens;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XVI - a coordenação, o acompanhamento e a fiscalização da execução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das ações ou omissões contrárias às normas administrativas ou penais, decorrentes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conduta profissional e funcional dos agentes públicos, que se encontrem em exercício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órgãos ou em entidades do Poder Executivo, regidos pela Lei nº 1.102, de 10 de 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1990, por meio de inquérito policial, sindicância administrativa disciplinar, processo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administrativo ou de autos de investigação preliminar, por intermédio da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Corregedoria-Geral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do Serviço Público;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XVII - o assessoramento ao Governador do Estado nos assuntos relacionados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com sua área de atuação e suas competências;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XVIII - a orientação das políticas de ação às instituições responsáveis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pelas atividades de investigação policial e polícia judiciária, de policiamento ostensivo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manutenção da ordem pública, bem como a busca, o salvamento, o socorro público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ressocialização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de condenados pela Justiça;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XIX - a coordenação da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das medidas socioeducacionais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(internação, semiliberdade e internação provisória), aplicadas aos adolescentes em conflito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com a Lei;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XX - a definição e a supervisão da execução da política penitenciária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do Estado;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XXI - a coordenação, o controle e a administração dos estabelecimentos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prisionais do Estado;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XXII - a prestação de serviços de prevenção e extinção de incêndios,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bem como de defesa civil da população, em casos de calamidades;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XXIII - a coordenação, o acompanhamento e a supervisão do processo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e de execução das medidas socioeducativas, em regime de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semiliberdade,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internação provisória e de internação, aplicadas aos adolescentes autores de 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infracional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CAPÍTULO 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DA ESTRUTURA BÁSICA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3º A Secretaria de Estado de Justiça e Segurança Pública, para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consecução de suas competências, terá a seguinte estrutura básica: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órgãos colegiados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Conselho Estadual Antidrogas;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b) Conselho Estadual de Trânsito;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c) Conselho Penitenciário Estadual;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d) Comissão Intersetorial de Acompanhamento do Sistema Estadual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Medidas Socioeducativas;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órgãos de assessoramento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Secretário-Adjunto;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b) Assessoria de Gabinete;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c) Coordenadoria de Relações Públicas e Cerimonial;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d) Coordenadoria de Assuntos Técnico-Especializados;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e) Coordenadoria de Controle Interno;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f) Gabinete de Gestão Integrada;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III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órgãos de direção e execução operacional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Superintendência de Planejamento, Projetos e Ações Integradas das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Políticas de Segurança Pública: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 Coordenadoria Estadual de Polícia Comunitária;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Coordenadoria-Geral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de Policiamento Aéreo (CGPA);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b) Superintendência de Segurança Pública: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 Centro Integrado de Operações de Segurança Pública (CIOPS);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 Departamento de Operações de Fronteira (DOF);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c) Superintendência de Políticas Penitenciárias;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d) Superintendência de Inteligência: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 Coordenadoria de Inteligência;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 Coordenadoria de Operações;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3. Coordenadoria de Contrainteligência;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4. Coordenadoria de Fiscalização e Controle;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e) Superintendência de Assistência Socioeducativa: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 Unidades de Assessoramento: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1.1. Corregedoria;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1.2. Assessoria Técnica e de Planejamento;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 Coordenadoria de Medidas Socioeducativas: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2.1. Divisão de Assistência Psicossocial e de Saúde;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2.2. Divisão de Educação e de Educação para o Trabalho;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 Núcleo de Apoio ao Servidor;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3. Coordenadoria de Segurança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, Guarda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e Proteção: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3.1. Divisão de Apoio às Unidades Educacionais de Internação;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4. Unidades Educacionais de Internação;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IV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órgãos de gestão instrumental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Superintendência de Administração e Finanças: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1. Coordenadoria de Finanças;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2. Coordenadoria de Recursos Humanos;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3. Coordenadoria de Suprimento;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4. Coordenadoria de Tecnologia e Informática;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5. Coordenadoria de Engenharia e de Projetos;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V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instituições subordinadas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Polícia Civil de Mato Grosso do Sul (PCMS);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b) Polícia Militar de Mato Grosso do Sul (PMMS);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c) Corpo de Bombeiros Militar de Mato Grosso do Sul (CBMMS);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VI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entidades vinculadas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Departamento Estadual de Trânsito de Mato Grosso do Sul (DETRAN);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b) Agência Estadual de Administração do Sistema Penitenciário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(AGEPEN);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VII -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unidade vinculada: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a) Coordenadoria Jurídica da PGE.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Parágrafo único. A representação gráfica da estrutura básica da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Secretaria de Estado de Justiça e Segurança Pública é a constante do Anexo deste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Decreto.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CAPÍTULO III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DA COMPETÊNCIA DOS ÓRGÃOS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 Órgãos Colegiados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4º Os órgãos colegiados têm a composição, a competência e as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normas de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funcionamento estabelecidas em seus atos de criação, e em seus respectivos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regimentos internos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 Órgãos de Assessoramento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5º Aos Órgãos de Assessoramento, diretamente subordinados ao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assessorar o Secretário de Estado de Justiça e Segurança Pública e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manter atualizada sua agenda de audiência;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acompanhar e prestar apoio aos conselhos vinculados à SEJUSP;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prestar assessoramento técnico-especializado ao Titular da Pasta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assistência às unidades da SEJUSP;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IV - receber e distribuir os documentos destinados ao Gabinete da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SEJUSP, mantendo o Secretário de Estado de Justiça e Segurança Pública informado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sobre o seu conteúdo e a sua destinação.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III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 Órgãos de Direção e Execução Operacional</w:t>
      </w:r>
    </w:p>
    <w:p w:rsidR="004D6312" w:rsidRPr="00E13805" w:rsidRDefault="004D6312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Planejamento, Projetos, Ações Integradas das Políticas de</w:t>
      </w:r>
      <w:r w:rsidR="004D63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Segurança </w:t>
      </w:r>
      <w:proofErr w:type="gramStart"/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Pública</w:t>
      </w:r>
      <w:proofErr w:type="gramEnd"/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6º À Superintendência de Planejamento, Projetos e Ações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Integradas das Políticas de Segurança Pública, diretamente subordinada ao Secretário</w:t>
      </w:r>
      <w:r w:rsidR="004D6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estabelecer diretrizes para a elaboração de projetos;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coordenar e supervisionar a execução dos projetos e dos programas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comunitários, visando à integração dos Conselhos Comunitários de Segurança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(CCS), com as instituições integrantes da SEJUSP.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Segurança Pública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7º À Superintendência de Segurança Pública, diretamente subordinada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ao 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elaborar planos e estudos visando à promoção, à integração, à organização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à orientação de ações gerais de segurança pública;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supervisionar as unidades diretamente subordinadas;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analisar os expedientes e as indicações legislativas ordinárias e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rotineiras, encaminhadas à SEJUSP por outros Poderes e instituições públicas, encaminhando-os com a devida manifestação e parecer.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Políticas Penitenciárias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Art. 8º À Superintendência de Políticas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Penitenciárias, diretamente subordinada</w:t>
      </w:r>
      <w:proofErr w:type="gramEnd"/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ao 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coordenar e supervisionar a execução da política de justiça, por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meio da articulação com os demais órgãos federais, estaduais e municipais, com os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Poderes Judiciário e Legislativo, o Ministério Público, as agências internacionais e as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organizações da sociedade civil;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II - coordenar a execução da política penitenciária a ser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implementada</w:t>
      </w:r>
      <w:proofErr w:type="gramEnd"/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em âmbito estadual, propondo diretrizes, sugerindo metas e estabelecendo prioridades.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IV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Inteligência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9º À Superintendência de Inteligência, diretamente subordinada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ao 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coordenar e supervisionar as atividades de Inteligência;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II - identificar, acompanhar e avaliar ameaças reais de competências à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segurança pública do Estado;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promover a coleta, a busca e análise de dados;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IV - produzir conhecimentos, que subsidiem as decisões nas diversas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esferas do Governo.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V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Assistência Socioeducativa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10. À Superintendência de Assistência Socioeducativa, diretamente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subordinada ao 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 - coordenar e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implementar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as políticas voltadas ao atendimento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adolescentes em conflito com a Lei, por intermédio das Unidades Educacionais de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Internação (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UNEIs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>), de Internação Provisória e das Unidades Educativas de Semiliberdade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UESLs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administrar e supervisionar a operacionalização das ações de atendimento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das medidas socioeducativas;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planejar e coordenar a realização de eventos, campanhas e promoções,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de caráter público ou interno, de interesse da SEJUSP;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IV - acompanhar, controlar e coordenar as ações desenvolvidas pelas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unidades que lhe são subordinadas.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IV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 Órgãos de Gestão Instrumental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Única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Superintendência de Administração e Finanças</w:t>
      </w:r>
    </w:p>
    <w:p w:rsidR="004A5E1B" w:rsidRPr="00E13805" w:rsidRDefault="004A5E1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11. À Superintendência de Administração e Finanças, diretamente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subordinada ao Secretário de Estado, compete: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administrar, supervisionar, orientar e controlar as atividades relativas</w:t>
      </w:r>
      <w:r w:rsidR="004A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à administração de recursos humanos;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coordenar a execução orçamentária, financeira e contábil, necessárias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ao funcionamento da SEJUSP;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administrar as atividades do sistema informatizado de gestão de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recursos humanos e das informações gerenciais;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IV - acompanhar, controlar e coordenar a execução dos projetos da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SEJUSP;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 - prestar apoio administrativo às atividades do Conselho Estadual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Antidrogas.</w:t>
      </w:r>
    </w:p>
    <w:p w:rsidR="00EE469B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V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Das Instituições Subordinadas e das Entidades Vinculadas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Das Instituições Subordinadas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12. Subordinam-se diretamente à Secretaria de Estado de Justiça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Segurança Pública: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a Polícia Civil de Mato Grosso do Sul (PCMS);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a Polícia Militar de Mato Grosso do Sul (PMMS);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o Corpo de Bombeiros Militar de Mato Grosso do Sul (CBMMS).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Parágrafo único. As instituições subordinadas têm suas estruturas básicas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competências estabelecidas em seus atos de criação, em seus estatutos e em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seus respectivo</w:t>
      </w:r>
      <w:proofErr w:type="gramEnd"/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 regimentos internos.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Subseção II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Das Entidades Vinculadas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13. Vinculam-se à Secretaria de Estado de Justiça e Segurança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Pública: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a Agência Estadual de Administração do Sistema Penitenciário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(AGEPEN);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o Departamento Estadual de Trânsito de Mato Grosso do Sul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(DETRAN).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Parágrafo único. As entidades vinculadas têm suas estruturas básicas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e competências estabelecidas em seus atos de criação, em seus estatutos, e em seus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regimentos internos.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Seção VI</w:t>
      </w:r>
      <w:proofErr w:type="gramEnd"/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Unidade Vinculada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14. A Coordenadoria Jurídica da PGE tem a sua competência estabelecida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no Regimento Interno da Procuradoria-Geral do Estado.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CAPÍTULO IV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DOS DIRIGENTES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15. A Secretaria de Estado de Justiça e Segurança Pública será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dirigida por um Secretário de Estado, com a colaboração do Secretário-Adjunto e com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apoio, na execução de suas atribuições, de diretores, superintendentes, coordenadores,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chefes de divisão e de unidades, chefes de assessorias, chefes de corregedoria e de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chefes de núcleos.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16. Os desdobramentos dos órgãos da Secretaria de Estado de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Justiça e Segurança Pública serão dirigidos: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os Departamentos e o Centro, por Diretores de Departamento e por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Diretor do Centro;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 - as Superintendência, por Superintendentes;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 xml:space="preserve">III - a </w:t>
      </w:r>
      <w:proofErr w:type="spellStart"/>
      <w:r w:rsidRPr="00E13805">
        <w:rPr>
          <w:rFonts w:ascii="Times New Roman" w:hAnsi="Times New Roman" w:cs="Times New Roman"/>
          <w:color w:val="000000"/>
          <w:sz w:val="24"/>
          <w:szCs w:val="24"/>
        </w:rPr>
        <w:t>Coordenadoria-Geral</w:t>
      </w:r>
      <w:proofErr w:type="spellEnd"/>
      <w:r w:rsidRPr="00E13805">
        <w:rPr>
          <w:rFonts w:ascii="Times New Roman" w:hAnsi="Times New Roman" w:cs="Times New Roman"/>
          <w:color w:val="000000"/>
          <w:sz w:val="24"/>
          <w:szCs w:val="24"/>
        </w:rPr>
        <w:t>, por Coordenador-Geral;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IV - as Coordenadorias, por Coordenadores;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 - as Divisões e Unidades, por Chefes de Divisão e de Unidades;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 - as Assessorias, por Chefes de Assessoria;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VII - a Corregedoria, por Chefe de Corregedoria;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VIII - o Núcleo, por chefe de Núcleo.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CAPÍTULO V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DISPOSIÇÕES TRANSITÓRIAS E FINAIS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17. Fica o Secretário de Estado de Justiça e Segurança Pública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autorizado a: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 - instituir mecanismos de natureza transitória, no âmbito da respectiva</w:t>
      </w:r>
      <w:r w:rsidR="00EE4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05">
        <w:rPr>
          <w:rFonts w:ascii="Times New Roman" w:hAnsi="Times New Roman" w:cs="Times New Roman"/>
          <w:color w:val="000000"/>
          <w:sz w:val="24"/>
          <w:szCs w:val="24"/>
        </w:rPr>
        <w:t>Secretaria, visando à solução de problemas específicos ou necessidades emergentes;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II - aprovar e publicar o regimento interno da SEJUSP;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III - designar comissões de trabalho de natureza temporária.</w:t>
      </w: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18. Este Decreto entra em vigor na data de sua publicação.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Art. 19. Revoga-se o Decreto nº 13.894, de 28 de março de 2014.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Campo Grande, 27 de abril de 2015.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REINALDO AZAMBUJA SILVA</w:t>
      </w:r>
    </w:p>
    <w:p w:rsidR="00E13805" w:rsidRDefault="00E13805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Governador do Estado</w:t>
      </w:r>
    </w:p>
    <w:p w:rsidR="00EE469B" w:rsidRPr="00E13805" w:rsidRDefault="00EE469B" w:rsidP="00E138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805" w:rsidRPr="00E13805" w:rsidRDefault="00E13805" w:rsidP="00EE46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SILVIO CESAR MALUF</w:t>
      </w:r>
    </w:p>
    <w:p w:rsidR="00E13805" w:rsidRPr="00E13805" w:rsidRDefault="00E13805" w:rsidP="00EE469B">
      <w:pPr>
        <w:spacing w:after="0" w:line="240" w:lineRule="auto"/>
        <w:ind w:right="10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805">
        <w:rPr>
          <w:rFonts w:ascii="Times New Roman" w:hAnsi="Times New Roman" w:cs="Times New Roman"/>
          <w:color w:val="000000"/>
          <w:sz w:val="24"/>
          <w:szCs w:val="24"/>
        </w:rPr>
        <w:t>Secretário de Estado de Justiça e Segurança Pública</w:t>
      </w:r>
    </w:p>
    <w:p w:rsidR="000E527E" w:rsidRDefault="00A57EB0" w:rsidP="00EE46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613">
        <w:rPr>
          <w:rFonts w:ascii="Times New Roman" w:hAnsi="Times New Roman" w:cs="Times New Roman"/>
          <w:b/>
          <w:sz w:val="24"/>
          <w:szCs w:val="24"/>
        </w:rPr>
        <w:t>(</w:t>
      </w:r>
      <w:r w:rsidR="00AF10DF" w:rsidRPr="00695613">
        <w:rPr>
          <w:rFonts w:ascii="Times New Roman" w:hAnsi="Times New Roman" w:cs="Times New Roman"/>
          <w:b/>
          <w:sz w:val="24"/>
          <w:szCs w:val="24"/>
        </w:rPr>
        <w:t>Publicado DOE 890</w:t>
      </w:r>
      <w:r w:rsidR="00EE469B">
        <w:rPr>
          <w:rFonts w:ascii="Times New Roman" w:hAnsi="Times New Roman" w:cs="Times New Roman"/>
          <w:b/>
          <w:sz w:val="24"/>
          <w:szCs w:val="24"/>
        </w:rPr>
        <w:t>8</w:t>
      </w:r>
      <w:r w:rsidR="00AF10DF" w:rsidRPr="0069561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D0F0C" w:rsidRPr="00695613">
        <w:rPr>
          <w:rFonts w:ascii="Times New Roman" w:hAnsi="Times New Roman" w:cs="Times New Roman"/>
          <w:b/>
          <w:sz w:val="24"/>
          <w:szCs w:val="24"/>
        </w:rPr>
        <w:t>2</w:t>
      </w:r>
      <w:r w:rsidR="00EE469B">
        <w:rPr>
          <w:rFonts w:ascii="Times New Roman" w:hAnsi="Times New Roman" w:cs="Times New Roman"/>
          <w:b/>
          <w:sz w:val="24"/>
          <w:szCs w:val="24"/>
        </w:rPr>
        <w:t>8</w:t>
      </w:r>
      <w:r w:rsidR="00AF10DF" w:rsidRPr="00695613">
        <w:rPr>
          <w:rFonts w:ascii="Times New Roman" w:hAnsi="Times New Roman" w:cs="Times New Roman"/>
          <w:b/>
          <w:sz w:val="24"/>
          <w:szCs w:val="24"/>
        </w:rPr>
        <w:t xml:space="preserve">.04.2015, pág. </w:t>
      </w:r>
      <w:proofErr w:type="gramStart"/>
      <w:r w:rsidR="00EE469B">
        <w:rPr>
          <w:rFonts w:ascii="Times New Roman" w:hAnsi="Times New Roman" w:cs="Times New Roman"/>
          <w:b/>
          <w:sz w:val="24"/>
          <w:szCs w:val="24"/>
        </w:rPr>
        <w:t>01</w:t>
      </w:r>
      <w:r w:rsidR="00AF10DF" w:rsidRPr="0069561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0E527E" w:rsidRDefault="000E5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527E" w:rsidRDefault="000E527E" w:rsidP="00EE46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E527E" w:rsidSect="00EC310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E527E" w:rsidRPr="009653EF" w:rsidRDefault="000E527E" w:rsidP="000E527E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9653EF">
        <w:rPr>
          <w:rFonts w:ascii="Verdana" w:hAnsi="Verdana" w:cs="Times New Roman"/>
          <w:sz w:val="16"/>
          <w:szCs w:val="16"/>
        </w:rPr>
        <w:lastRenderedPageBreak/>
        <w:t>ANEXO DO DECRETO Nº 14.164, DE 27 DE ABRIL DE 2015.</w:t>
      </w:r>
    </w:p>
    <w:p w:rsidR="000E527E" w:rsidRPr="009653EF" w:rsidRDefault="000E527E" w:rsidP="000E527E">
      <w:pPr>
        <w:spacing w:after="0" w:line="240" w:lineRule="auto"/>
        <w:jc w:val="center"/>
        <w:rPr>
          <w:rFonts w:ascii="Verdana" w:hAnsi="Verdana" w:cs="Times New Roman"/>
          <w:sz w:val="16"/>
          <w:szCs w:val="16"/>
        </w:rPr>
      </w:pPr>
      <w:r w:rsidRPr="009653EF">
        <w:rPr>
          <w:rFonts w:ascii="Verdana" w:hAnsi="Verdana" w:cs="Times New Roman"/>
          <w:sz w:val="16"/>
          <w:szCs w:val="16"/>
        </w:rPr>
        <w:t>ORGANOGRAMA DA ESTRUTURA BÁSICA DA SECRETARIA DE ESTADO DE JUSTIÇA E SEGURANÇA PÚBLICA</w:t>
      </w:r>
    </w:p>
    <w:p w:rsidR="000E527E" w:rsidRPr="009653EF" w:rsidRDefault="000E527E" w:rsidP="000E527E">
      <w:pPr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9653EF">
        <w:rPr>
          <w:rFonts w:ascii="Verdana" w:hAnsi="Verdana" w:cs="Times New Roman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8391525" cy="6019800"/>
            <wp:effectExtent l="19050" t="0" r="9525" b="0"/>
            <wp:wrapTight wrapText="bothSides">
              <wp:wrapPolygon edited="0">
                <wp:start x="-49" y="0"/>
                <wp:lineTo x="-49" y="21532"/>
                <wp:lineTo x="21625" y="21532"/>
                <wp:lineTo x="21625" y="0"/>
                <wp:lineTo x="-49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27E" w:rsidRPr="009653EF" w:rsidRDefault="000E527E" w:rsidP="000E527E">
      <w:pPr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</w:p>
    <w:p w:rsidR="000E527E" w:rsidRDefault="000E527E">
      <w:pPr>
        <w:rPr>
          <w:rFonts w:ascii="Times New Roman" w:hAnsi="Times New Roman" w:cs="Times New Roman"/>
          <w:sz w:val="24"/>
          <w:szCs w:val="24"/>
        </w:rPr>
      </w:pPr>
    </w:p>
    <w:p w:rsidR="00AF10DF" w:rsidRPr="00695613" w:rsidRDefault="00AF10DF" w:rsidP="006956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0DF" w:rsidRPr="00695613" w:rsidSect="000E527E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D3881"/>
    <w:multiLevelType w:val="hybridMultilevel"/>
    <w:tmpl w:val="89B8F0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7D30"/>
    <w:multiLevelType w:val="multilevel"/>
    <w:tmpl w:val="06E86D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0DF"/>
    <w:rsid w:val="00056D0F"/>
    <w:rsid w:val="000D1355"/>
    <w:rsid w:val="000E527E"/>
    <w:rsid w:val="00186AAE"/>
    <w:rsid w:val="001C6D6C"/>
    <w:rsid w:val="001F3AF4"/>
    <w:rsid w:val="00201186"/>
    <w:rsid w:val="002174C7"/>
    <w:rsid w:val="0023108B"/>
    <w:rsid w:val="00284550"/>
    <w:rsid w:val="00286FC0"/>
    <w:rsid w:val="00291499"/>
    <w:rsid w:val="002D1463"/>
    <w:rsid w:val="00302700"/>
    <w:rsid w:val="00330441"/>
    <w:rsid w:val="003841B6"/>
    <w:rsid w:val="003A0EC1"/>
    <w:rsid w:val="003D669A"/>
    <w:rsid w:val="00483C93"/>
    <w:rsid w:val="004A5E1B"/>
    <w:rsid w:val="004D0F0C"/>
    <w:rsid w:val="004D6312"/>
    <w:rsid w:val="004E1E4F"/>
    <w:rsid w:val="004F32A6"/>
    <w:rsid w:val="004F41C3"/>
    <w:rsid w:val="00517DE7"/>
    <w:rsid w:val="005520A5"/>
    <w:rsid w:val="006337F9"/>
    <w:rsid w:val="0067500C"/>
    <w:rsid w:val="00695613"/>
    <w:rsid w:val="006E0AC8"/>
    <w:rsid w:val="00721D50"/>
    <w:rsid w:val="00722C1B"/>
    <w:rsid w:val="007C1A5B"/>
    <w:rsid w:val="00805987"/>
    <w:rsid w:val="00896545"/>
    <w:rsid w:val="00896ED2"/>
    <w:rsid w:val="008B09DC"/>
    <w:rsid w:val="0095109F"/>
    <w:rsid w:val="00A32A9B"/>
    <w:rsid w:val="00A57EB0"/>
    <w:rsid w:val="00A7365D"/>
    <w:rsid w:val="00AA5ED9"/>
    <w:rsid w:val="00AF10DF"/>
    <w:rsid w:val="00B100FD"/>
    <w:rsid w:val="00B46A1E"/>
    <w:rsid w:val="00BA2C63"/>
    <w:rsid w:val="00BA32F7"/>
    <w:rsid w:val="00BE68B8"/>
    <w:rsid w:val="00C26457"/>
    <w:rsid w:val="00C335BA"/>
    <w:rsid w:val="00CC76C1"/>
    <w:rsid w:val="00D32667"/>
    <w:rsid w:val="00DE77FD"/>
    <w:rsid w:val="00DF22FF"/>
    <w:rsid w:val="00E03E51"/>
    <w:rsid w:val="00E13805"/>
    <w:rsid w:val="00E52FC2"/>
    <w:rsid w:val="00E61CB7"/>
    <w:rsid w:val="00EC3107"/>
    <w:rsid w:val="00EE31FB"/>
    <w:rsid w:val="00EE469B"/>
    <w:rsid w:val="00FA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13805"/>
    <w:rPr>
      <w:color w:val="0000FF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E13805"/>
    <w:pPr>
      <w:spacing w:before="100" w:beforeAutospacing="1" w:after="100" w:afterAutospacing="1" w:line="240" w:lineRule="auto"/>
      <w:ind w:right="10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8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39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35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17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94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77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38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03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3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35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64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9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51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8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95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49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39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6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48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20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6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84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14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86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4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76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31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3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49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79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92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55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66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2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39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29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82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80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95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9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89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15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78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8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60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39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54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87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6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95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11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36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6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38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834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60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7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73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69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7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2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75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5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0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04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4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50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9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84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1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17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27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2547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katiuscia.menezes</dc:creator>
  <cp:lastModifiedBy>katiuscia.menezes</cp:lastModifiedBy>
  <cp:revision>3</cp:revision>
  <dcterms:created xsi:type="dcterms:W3CDTF">2015-04-28T19:31:00Z</dcterms:created>
  <dcterms:modified xsi:type="dcterms:W3CDTF">2015-04-28T19:49:00Z</dcterms:modified>
</cp:coreProperties>
</file>